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5B5F4" w14:textId="77777777" w:rsidR="00E36A50" w:rsidRDefault="00E36A50" w:rsidP="00E36A50"/>
    <w:p w14:paraId="1718882B" w14:textId="77777777" w:rsidR="00E36A50" w:rsidRDefault="00E36A50" w:rsidP="00E36A50">
      <w:pPr>
        <w:ind w:firstLine="720"/>
      </w:pPr>
    </w:p>
    <w:p w14:paraId="01DCCAD9" w14:textId="77777777" w:rsidR="00E36A50" w:rsidRDefault="00E36A50" w:rsidP="00E36A50">
      <w:pPr>
        <w:ind w:firstLine="720"/>
      </w:pPr>
    </w:p>
    <w:p w14:paraId="6021658D" w14:textId="77777777" w:rsidR="00E36A50" w:rsidRDefault="00E36A50" w:rsidP="00E36A50">
      <w:pPr>
        <w:ind w:firstLine="720"/>
      </w:pPr>
    </w:p>
    <w:p w14:paraId="0021E017" w14:textId="77777777" w:rsidR="00E36A50" w:rsidRDefault="00E36A50" w:rsidP="00E36A50">
      <w:pPr>
        <w:ind w:firstLine="720"/>
      </w:pPr>
    </w:p>
    <w:p w14:paraId="11C91655" w14:textId="77777777" w:rsidR="00E36A50" w:rsidRDefault="00E36A50" w:rsidP="00E36A50">
      <w:pPr>
        <w:ind w:firstLine="720"/>
      </w:pPr>
    </w:p>
    <w:p w14:paraId="11771AF5" w14:textId="77777777" w:rsidR="00E36A50" w:rsidRDefault="00E36A50" w:rsidP="00E36A50">
      <w:pPr>
        <w:ind w:firstLine="720"/>
      </w:pPr>
    </w:p>
    <w:p w14:paraId="2884D5D7" w14:textId="29E4FAB1" w:rsidR="00E36A50" w:rsidRDefault="00E36A50" w:rsidP="00E36A50">
      <w:pPr>
        <w:jc w:val="center"/>
      </w:pPr>
      <w:r>
        <w:t>The Believing Game</w:t>
      </w:r>
    </w:p>
    <w:p w14:paraId="50721883" w14:textId="73695B75" w:rsidR="00E36A50" w:rsidRDefault="00E36A50" w:rsidP="00E36A50">
      <w:pPr>
        <w:jc w:val="center"/>
      </w:pPr>
      <w:r>
        <w:t>Student’s Name</w:t>
      </w:r>
    </w:p>
    <w:p w14:paraId="2BE692EA" w14:textId="66063129" w:rsidR="00E36A50" w:rsidRDefault="00E36A50" w:rsidP="00E36A50">
      <w:pPr>
        <w:jc w:val="center"/>
      </w:pPr>
      <w:r>
        <w:t>Institutional Affiliation</w:t>
      </w:r>
      <w:r>
        <w:br w:type="page"/>
      </w:r>
    </w:p>
    <w:p w14:paraId="1698EB48" w14:textId="796C530B" w:rsidR="00E36A50" w:rsidRDefault="00E36A50" w:rsidP="00E36A50">
      <w:pPr>
        <w:jc w:val="center"/>
      </w:pPr>
      <w:r>
        <w:lastRenderedPageBreak/>
        <w:t xml:space="preserve">The Believing Game </w:t>
      </w:r>
    </w:p>
    <w:p w14:paraId="7D87F558" w14:textId="2151D7FC" w:rsidR="007E312D" w:rsidRDefault="00480923" w:rsidP="00E36A50">
      <w:pPr>
        <w:ind w:firstLine="720"/>
      </w:pPr>
      <w:r>
        <w:t xml:space="preserve">The believing game can be explained by contrast using the doubting game. The doubting game is a representation of some of the most taught and widely honored thinking. The discipline is an analytic and skeptical practice </w:t>
      </w:r>
      <w:r w:rsidR="007E7AAA">
        <w:t xml:space="preserve">of every idea that humans encounter. Through doubts, humans can realize and discover bad reasoning, hidden contradictions, or other weaknesses in ideas that appear to be true or appealing. The whole concept is scrutinized with the tool of doubt. </w:t>
      </w:r>
    </w:p>
    <w:p w14:paraId="5A0FAE91" w14:textId="3A02F15D" w:rsidR="007E7AAA" w:rsidRDefault="007E7AAA" w:rsidP="00E36A50">
      <w:pPr>
        <w:ind w:firstLine="720"/>
      </w:pPr>
      <w:r>
        <w:t xml:space="preserve">Notably, the position cannot be disputable as a good statesman will always learn from a lot from the opponents compared to the supporters. Supporters are known to push an individual to disaster unless there are opposers who can reveal to the individuals when the dangers arise. A wise person will I such a case pray to be delivered and set free from friends to avoid them from ruining him. Although it hurts, the individual should seek to ensure they always have opponents as they help keep one in good sense and the path of reason. </w:t>
      </w:r>
    </w:p>
    <w:p w14:paraId="1DF2435F" w14:textId="5B9B163C" w:rsidR="007E7AAA" w:rsidRDefault="007E7AAA" w:rsidP="00E36A50">
      <w:pPr>
        <w:ind w:firstLine="720"/>
      </w:pPr>
      <w:r>
        <w:t xml:space="preserve">The continued veneration of “critical thinking” tells how intellectual culture in human beings venerates doubts and skepticism. The believing game is therefore the critical thinking or doubting game of the mirror image. The believing game is the disciplined practice where humans try to be welcoming as much as possible to each and every idea that they encounter. It is not just a matter of listening to the views of different persons from what humans perceive and try to believe in them. The tool can be used to scrutinize for hidden virtues and not flaws in ideas that appear unfashionable. Many times, one cannot see perceive the good in the idea brought by another person. When an idea takes a trajectory that is against the beliefs and assumptions, the merit in the thing cannot be seen. </w:t>
      </w:r>
    </w:p>
    <w:p w14:paraId="67B0F1CF" w14:textId="222CF1AD" w:rsidR="007E7AAA" w:rsidRDefault="007E7AAA" w:rsidP="00E36A50">
      <w:pPr>
        <w:ind w:firstLine="720"/>
      </w:pPr>
      <w:r>
        <w:t xml:space="preserve">Believing is a term that is scary since many people rarely get nervous when it is being celebrated. They try to differentiate and bring sense on the words believing and doubting. Believing appears to be a concept that entails commitment while on the other hand doubting does not. It mainly feels like people can doubt something without necessarily committing themselves to rejecting it. On the other side it is not possible to believe something without a commitment to live by it and also to accept it. Thus, people feel as if people can doubt and remain unscathed, but if one believes they can be scathed. Indeed, believing is to a great extent bound with religion. The contrast displayed in meaning paints a picture of natural acts of believing and also doubting. However, the picture is not just concerned with believing and doubting as unnatural games or methodological disciplines. </w:t>
      </w:r>
    </w:p>
    <w:p w14:paraId="314038A4" w14:textId="0D7E284F" w:rsidR="007E7AAA" w:rsidRDefault="007E7AAA" w:rsidP="00E36A50">
      <w:pPr>
        <w:ind w:firstLine="720"/>
      </w:pPr>
      <w:r>
        <w:t>The acts of doubting in natural individu</w:t>
      </w:r>
      <w:r w:rsidR="00E36A50">
        <w:t>als occur when a story that seems to be dubious or hard to believe is told. One would notice that the culture people have adopted enables them to operate beyond the natural doubting acts. For a long time, humans have struggles to learn the way to doubt hence not believe (</w:t>
      </w:r>
      <w:r w:rsidR="00E36A50" w:rsidRPr="00E36A50">
        <w:rPr>
          <w:rFonts w:cs="Arial"/>
          <w:szCs w:val="20"/>
          <w:shd w:val="clear" w:color="auto" w:fill="FFFFFF"/>
        </w:rPr>
        <w:t>Elbow, 2006</w:t>
      </w:r>
      <w:r w:rsidR="00E36A50">
        <w:rPr>
          <w:rFonts w:cs="Arial"/>
          <w:szCs w:val="20"/>
          <w:shd w:val="clear" w:color="auto" w:fill="FFFFFF"/>
        </w:rPr>
        <w:t>)</w:t>
      </w:r>
      <w:r w:rsidR="00E36A50">
        <w:t xml:space="preserve">. For good thinking, it is important for humans to doubt everything even if it is not dubious. In essence, the whole critical thinking point is trying to doubt the obvious and true things. Developing the systematic doubting system calls for humans to overcome believing. This is a natural pull in humans that makes people believe everything that is easy to believe. The systematic doubting can be developed by overcoming the act of believing. As individuals, there is always a skeptical was in believing such as learning to avoid believing that things are good as it is brought out by God. As Children one would notice that believing in a naïve manner can lead someone astray. As adults, the dreadful things are noticed concerning beliefs that lead people to do and confess alleged witches. </w:t>
      </w:r>
    </w:p>
    <w:p w14:paraId="3A001335" w14:textId="793E53F8" w:rsidR="00E36A50" w:rsidRDefault="00E36A50" w:rsidP="00E36A50">
      <w:pPr>
        <w:ind w:firstLine="720"/>
      </w:pPr>
      <w:r>
        <w:t xml:space="preserve">The doubting game methodology provides people with a model for the believing game methodology. When the game of doubting prompts an individual to doubt something, it fails to compel them to throw the thing away forever. But doing so is difficult since the game teaches people to doubt every idea and also to find weakness in the ideas that are good. This does not mean that one throws away all ideas. The doubt scrutiny is conditional, provisional, and also methodological. Therefore, when a good doubter makes a decision on what to believe and what to doubt, an additional judgement and commitment is always involved. The doubting game is therefore an effective tool to provide evidence without people having to commit and judge others. </w:t>
      </w:r>
    </w:p>
    <w:p w14:paraId="67284B13" w14:textId="13C5BF12" w:rsidR="00E36A50" w:rsidRDefault="00E36A50" w:rsidP="00E36A50">
      <w:pPr>
        <w:ind w:firstLine="720"/>
      </w:pPr>
      <w:r>
        <w:t xml:space="preserve">In conclusion, the believing game compels individuals to believe every idea especially the ideas that are on the wrong side. Believing is unnatural hence its hard trying to believe ideas that are conflicting. The believing </w:t>
      </w:r>
      <w:r w:rsidR="00C8762B">
        <w:t>game provides</w:t>
      </w:r>
      <w:r>
        <w:t xml:space="preserve"> humans with evidence but the concept of deciding rest sorely on the individual character. Humans should therefore continuously try to resist the force to all the easy things to believe.</w:t>
      </w:r>
    </w:p>
    <w:p w14:paraId="7441F06D" w14:textId="77777777" w:rsidR="00E36A50" w:rsidRDefault="00E36A50" w:rsidP="00E36A50">
      <w:pPr>
        <w:jc w:val="center"/>
      </w:pPr>
      <w:r>
        <w:br w:type="page"/>
      </w:r>
    </w:p>
    <w:p w14:paraId="4C8AC188" w14:textId="027C43CE" w:rsidR="00E36A50" w:rsidRDefault="00E36A50" w:rsidP="00E36A50">
      <w:pPr>
        <w:jc w:val="center"/>
      </w:pPr>
      <w:r>
        <w:t>References</w:t>
      </w:r>
    </w:p>
    <w:p w14:paraId="70977944" w14:textId="71D4AAA7" w:rsidR="00E36A50" w:rsidRPr="00E36A50" w:rsidRDefault="00E36A50" w:rsidP="00E36A50">
      <w:pPr>
        <w:ind w:left="720" w:hanging="720"/>
      </w:pPr>
      <w:r w:rsidRPr="00E36A50">
        <w:rPr>
          <w:rFonts w:cs="Arial"/>
          <w:szCs w:val="20"/>
          <w:shd w:val="clear" w:color="auto" w:fill="FFFFFF"/>
        </w:rPr>
        <w:t>Elbo</w:t>
      </w:r>
      <w:bookmarkStart w:id="0" w:name="_GoBack"/>
      <w:bookmarkEnd w:id="0"/>
      <w:r w:rsidRPr="00E36A50">
        <w:rPr>
          <w:rFonts w:cs="Arial"/>
          <w:szCs w:val="20"/>
          <w:shd w:val="clear" w:color="auto" w:fill="FFFFFF"/>
        </w:rPr>
        <w:t>w, P. (2006). The believing game and how to make conflicting opinions more fruitful. </w:t>
      </w:r>
      <w:r w:rsidRPr="00E36A50">
        <w:rPr>
          <w:rFonts w:cs="Arial"/>
          <w:i/>
          <w:iCs/>
          <w:szCs w:val="20"/>
          <w:shd w:val="clear" w:color="auto" w:fill="FFFFFF"/>
        </w:rPr>
        <w:t>Nurturing the peacemakers in our students: A guide to teaching peace, empathy, and understanding</w:t>
      </w:r>
      <w:r w:rsidRPr="00E36A50">
        <w:rPr>
          <w:rFonts w:cs="Arial"/>
          <w:szCs w:val="20"/>
          <w:shd w:val="clear" w:color="auto" w:fill="FFFFFF"/>
        </w:rPr>
        <w:t>, 16-25.</w:t>
      </w:r>
    </w:p>
    <w:sectPr w:rsidR="00E36A50" w:rsidRPr="00E36A50" w:rsidSect="00E36A5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A3CF60" w14:textId="77777777" w:rsidR="003076FF" w:rsidRDefault="003076FF" w:rsidP="00E36A50">
      <w:pPr>
        <w:spacing w:line="240" w:lineRule="auto"/>
      </w:pPr>
      <w:r>
        <w:separator/>
      </w:r>
    </w:p>
  </w:endnote>
  <w:endnote w:type="continuationSeparator" w:id="0">
    <w:p w14:paraId="7B6B50E4" w14:textId="77777777" w:rsidR="003076FF" w:rsidRDefault="003076FF" w:rsidP="00E36A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D41444" w14:textId="77777777" w:rsidR="003076FF" w:rsidRDefault="003076FF" w:rsidP="00E36A50">
      <w:pPr>
        <w:spacing w:line="240" w:lineRule="auto"/>
      </w:pPr>
      <w:r>
        <w:separator/>
      </w:r>
    </w:p>
  </w:footnote>
  <w:footnote w:type="continuationSeparator" w:id="0">
    <w:p w14:paraId="2E523003" w14:textId="77777777" w:rsidR="003076FF" w:rsidRDefault="003076FF" w:rsidP="00E36A5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3802211"/>
      <w:docPartObj>
        <w:docPartGallery w:val="Page Numbers (Top of Page)"/>
        <w:docPartUnique/>
      </w:docPartObj>
    </w:sdtPr>
    <w:sdtEndPr>
      <w:rPr>
        <w:noProof/>
      </w:rPr>
    </w:sdtEndPr>
    <w:sdtContent>
      <w:p w14:paraId="00785974" w14:textId="08E9BF44" w:rsidR="00E36A50" w:rsidRDefault="00E36A50">
        <w:pPr>
          <w:pStyle w:val="Header"/>
          <w:jc w:val="right"/>
        </w:pPr>
        <w:r>
          <w:t xml:space="preserve">THE BELIEVING GAME </w:t>
        </w:r>
        <w:r>
          <w:tab/>
        </w:r>
        <w:r>
          <w:tab/>
        </w:r>
        <w:r>
          <w:fldChar w:fldCharType="begin"/>
        </w:r>
        <w:r>
          <w:instrText xml:space="preserve"> PAGE   \* MERGEFORMAT </w:instrText>
        </w:r>
        <w:r>
          <w:fldChar w:fldCharType="separate"/>
        </w:r>
        <w:r w:rsidR="00C8762B">
          <w:rPr>
            <w:noProof/>
          </w:rPr>
          <w:t>5</w:t>
        </w:r>
        <w:r>
          <w:rPr>
            <w:noProof/>
          </w:rPr>
          <w:fldChar w:fldCharType="end"/>
        </w:r>
      </w:p>
    </w:sdtContent>
  </w:sdt>
  <w:p w14:paraId="69C36126" w14:textId="77777777" w:rsidR="00E36A50" w:rsidRDefault="00E36A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7365531"/>
      <w:docPartObj>
        <w:docPartGallery w:val="Page Numbers (Top of Page)"/>
        <w:docPartUnique/>
      </w:docPartObj>
    </w:sdtPr>
    <w:sdtEndPr>
      <w:rPr>
        <w:noProof/>
      </w:rPr>
    </w:sdtEndPr>
    <w:sdtContent>
      <w:p w14:paraId="348DA0B4" w14:textId="77777777" w:rsidR="00E36A50" w:rsidRDefault="00E36A50" w:rsidP="00E36A50">
        <w:pPr>
          <w:pStyle w:val="Header"/>
          <w:jc w:val="right"/>
        </w:pPr>
        <w:r>
          <w:t xml:space="preserve">Running head: THE BELIEVING GAME </w:t>
        </w:r>
        <w:r>
          <w:tab/>
        </w:r>
        <w:r>
          <w:tab/>
        </w:r>
        <w:r>
          <w:fldChar w:fldCharType="begin"/>
        </w:r>
        <w:r>
          <w:instrText xml:space="preserve"> PAGE   \* MERGEFORMAT </w:instrText>
        </w:r>
        <w:r>
          <w:fldChar w:fldCharType="separate"/>
        </w:r>
        <w:r w:rsidR="003076FF">
          <w:rPr>
            <w:noProof/>
          </w:rPr>
          <w:t>1</w:t>
        </w:r>
        <w:r>
          <w:rPr>
            <w:noProof/>
          </w:rPr>
          <w:fldChar w:fldCharType="end"/>
        </w:r>
      </w:p>
    </w:sdtContent>
  </w:sdt>
  <w:p w14:paraId="385AEC30" w14:textId="77777777" w:rsidR="00E36A50" w:rsidRDefault="00E36A50" w:rsidP="00E36A50">
    <w:pPr>
      <w:pStyle w:val="Header"/>
    </w:pPr>
  </w:p>
  <w:p w14:paraId="08A05B7C" w14:textId="77777777" w:rsidR="00E36A50" w:rsidRDefault="00E36A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F65"/>
    <w:rsid w:val="003076FF"/>
    <w:rsid w:val="00480923"/>
    <w:rsid w:val="006B2202"/>
    <w:rsid w:val="007E312D"/>
    <w:rsid w:val="007E7AAA"/>
    <w:rsid w:val="00C8762B"/>
    <w:rsid w:val="00DB0F65"/>
    <w:rsid w:val="00E3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C7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A50"/>
    <w:pPr>
      <w:tabs>
        <w:tab w:val="center" w:pos="4680"/>
        <w:tab w:val="right" w:pos="9360"/>
      </w:tabs>
      <w:spacing w:line="240" w:lineRule="auto"/>
    </w:pPr>
  </w:style>
  <w:style w:type="character" w:customStyle="1" w:styleId="HeaderChar">
    <w:name w:val="Header Char"/>
    <w:basedOn w:val="DefaultParagraphFont"/>
    <w:link w:val="Header"/>
    <w:uiPriority w:val="99"/>
    <w:rsid w:val="00E36A50"/>
  </w:style>
  <w:style w:type="paragraph" w:styleId="Footer">
    <w:name w:val="footer"/>
    <w:basedOn w:val="Normal"/>
    <w:link w:val="FooterChar"/>
    <w:uiPriority w:val="99"/>
    <w:unhideWhenUsed/>
    <w:rsid w:val="00E36A50"/>
    <w:pPr>
      <w:tabs>
        <w:tab w:val="center" w:pos="4680"/>
        <w:tab w:val="right" w:pos="9360"/>
      </w:tabs>
      <w:spacing w:line="240" w:lineRule="auto"/>
    </w:pPr>
  </w:style>
  <w:style w:type="character" w:customStyle="1" w:styleId="FooterChar">
    <w:name w:val="Footer Char"/>
    <w:basedOn w:val="DefaultParagraphFont"/>
    <w:link w:val="Footer"/>
    <w:uiPriority w:val="99"/>
    <w:rsid w:val="00E36A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6A50"/>
    <w:pPr>
      <w:tabs>
        <w:tab w:val="center" w:pos="4680"/>
        <w:tab w:val="right" w:pos="9360"/>
      </w:tabs>
      <w:spacing w:line="240" w:lineRule="auto"/>
    </w:pPr>
  </w:style>
  <w:style w:type="character" w:customStyle="1" w:styleId="HeaderChar">
    <w:name w:val="Header Char"/>
    <w:basedOn w:val="DefaultParagraphFont"/>
    <w:link w:val="Header"/>
    <w:uiPriority w:val="99"/>
    <w:rsid w:val="00E36A50"/>
  </w:style>
  <w:style w:type="paragraph" w:styleId="Footer">
    <w:name w:val="footer"/>
    <w:basedOn w:val="Normal"/>
    <w:link w:val="FooterChar"/>
    <w:uiPriority w:val="99"/>
    <w:unhideWhenUsed/>
    <w:rsid w:val="00E36A50"/>
    <w:pPr>
      <w:tabs>
        <w:tab w:val="center" w:pos="4680"/>
        <w:tab w:val="right" w:pos="9360"/>
      </w:tabs>
      <w:spacing w:line="240" w:lineRule="auto"/>
    </w:pPr>
  </w:style>
  <w:style w:type="character" w:customStyle="1" w:styleId="FooterChar">
    <w:name w:val="Footer Char"/>
    <w:basedOn w:val="DefaultParagraphFont"/>
    <w:link w:val="Footer"/>
    <w:uiPriority w:val="99"/>
    <w:rsid w:val="00E36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2020-10-26T00:16:00Z</dcterms:created>
  <dcterms:modified xsi:type="dcterms:W3CDTF">2020-10-26T00:16:00Z</dcterms:modified>
</cp:coreProperties>
</file>